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Техническое задание </w:t>
      </w:r>
    </w:p>
    <w:tbl>
      <w:tblPr>
        <w:tblStyle w:val="a9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0"/>
        <w:gridCol w:w="3966"/>
        <w:gridCol w:w="5540"/>
      </w:tblGrid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«Технология»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Раздел: Информационная безопасность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Ориентировочное время начала работ, Сроки исполнения работ 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02.03.2020г.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Окончание: 29.05.2020г.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строительства (новое, реконструкция, техперевооружение)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Техперевооружение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Реконструкция ПС 110 кВ.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РД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ИБ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Технические требования к выполняемым работам 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hd w:val="clear" w:color="auto" w:fill="FFFFFF"/>
              <w:tabs>
                <w:tab w:val="clear" w:pos="708"/>
                <w:tab w:val="left" w:pos="5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Объекты электроэнергетики.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right="0" w:hanging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Проектируется ВОЛС.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 рамках проекта предусматривается установка системы мониторинга релейной защиты и автоматики (РЗА).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Проектируемая сеть связи состоит из следующих узлов: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4 узла связи на которых устанавливается новое оборудование или доукомплектовывается существующее.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Все узлы связи не обеспечены межсетевыми экранами, а также на них никогда не проводились мероприятия по повышению информационной безопасности.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Из них: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1 узел связи - оборудование связи на данный момент отсутствует.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 xml:space="preserve">2 узел связи - оборудование существующее, планируется доукомплектация новым мультиплексором, необходимо предусмотреть 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межсетевой экран.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3 узел связи существующий, необходимо предусмотреть межсетевой экран.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4 узел связи существующий, выполняется доукомплектация мультиплексора.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br/>
              <w:br/>
              <w:t>Необходимо выполнить подключение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 xml:space="preserve"> к существующей технологической сети компании с  системой информационной безопасности.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857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113" w:right="0" w:hanging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отдельный раздел рабочей документации «Подсистема информационной безопасности», в котором предусмотреть монтажные и пуско-наладочные работы проектируемой подсистемы ИБ.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shd w:val="clear" w:color="auto" w:fill="FFFFFF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разделе «Подсистема информационной безопасности» предусмотреть реализацию, в том числе следующих технических мер по защите информации: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Межсетевое экранирование сегментов сети подстанции с применением межсетевых экранов с «горячим» резервированием;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защищённых каналов связи с удалёнными АРМами.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Антивирусную защиту серверов и технологических АРМов с применением программного обеспечения Kaspersky Industrial Cybersecurtiy for Nodes;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передачи информации о выявленных инцидентах и угрозах ИБ в реальном времени в централизованную систему на базе программного обеспечения MaxPatrol SIEM.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описание архитектуры подсистемы безопасности проектируемой системы;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схему основного и резервного питания СЗИ;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схемы организации VPN-туннелей;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план IP-адресации;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схемы взаимодействия компонентов проектируемой подсистемы ИБ с сетевой инфраструктурой ОАО «Сетевая компания» (системами мониторинга, регистрации событий ИБ, SCADA системами, АСУ РЗА и ПА, системами резервного копирования и т.п.) с указанием протоколов взаимодействия, моделей активного сетевого оборудования, форматов передачи данных, адресации сегментов ЛВС и СПД, VPN туннелей;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матрицу информационных потоков, циркулирующих как внутри подсистемы ИБ проектируемого РАС, так и входящих, и выходящих за пределы этой подсистемы: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проектируемой подстанции;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назначение ИП;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ИП (основной/резервный);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IP адрес источника информации; направление ИП;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интерфейс/скорость передачи (кбит/с);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сигнализация/протокол;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программные порты назначения/протокол;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IP адрес приёмника информации;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VLAN;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диапазон IP-адресов VLAN;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оборудование, на котором терминирован VLAN (тип, месторасположение).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42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схему(ы) информационных потоков между пользователями, администратором РАС и непосредственно циркулирующих в РАС.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логические схемы с учётом сегментации локальной вычислительной сети (ЛВС) и сети передачи данных (СПД) с IP-адресацией, через которые организуется взаимодействие РАС с внешними информационными системами и взаимодействие составных частей РАС между собой.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Выполнить перечень сведений о проектируемых технологических серверах и АРМах (при наличии) данные с которых подлежат резервному копированию с указанием: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сетевого имени;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типа сервера (физический, виртуальный), АРМа;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типа и версии ОС;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роли сервера (АРМа);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объекта резервного копирования (образ системы целиком, конфигурационные файлы, БД и т.д.);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типа и версии используемой СУБД/приложений;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места расположения объектов резервного копирования на файловой системе сервера (АРМа);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 ли BMR (Bare Metal Restore) для клиента; периодичности резервного копирования;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временного окна резервного копирования;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адреса (наименования площадки) расположения сервера (АРМа);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tabs>
                <w:tab w:val="clear" w:pos="708"/>
                <w:tab w:val="left" w:pos="609" w:leader="none"/>
              </w:tabs>
              <w:bidi w:val="0"/>
              <w:spacing w:lineRule="auto" w:line="240" w:before="0" w:after="0"/>
              <w:ind w:left="624" w:right="0" w:hanging="34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объёма данных подлежащих резервному копированию.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Определить требования к параметрам настройки программных и программно-аппаратных средств, включая средства защиты информации, обеспечивающие реализацию мер по обеспечению безопасности, блокирование (нейтрализацию) угроз безопасности информации и устранение уязвимостей РАС, АРМ, а также систем  МП УРЗА;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порядок и параметры настройки программных и программно-аппаратных средств, в том числе средств защиты информации;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правила эксплуатации программных и программно-аппаратных средств, в том числе средств защиты информации (правила безопасной эксплуатации);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схемы размещения СЗИ в телекоммуникационном(ых) шкафу(ах) на проектируемых площадках;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спецификацию оборудования и программного обеспечения;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программу и методику предварительных испытаний;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программу опытной эксплуатации;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программу и методику приёмочных испытаний.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организационные и технические меры по обеспечению безопасности не должны оказывать негативного влияния на создание и функционирование защищаемых информационных систем и информационно-телекоммуникационного оборудования.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создании подсистемы ИБ необходимо максимально использовать возможности существующего оборудования в том числе и на смежных площадках проектирования.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определении требований к параметрам настройки подсистем резервного копирования технологических серверов и АРМов (при наличии) рассмотреть в качестве места хранения данных систему резервного копирования, размещённую в управлении филиала или управления СК.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обеспечения технических мер по защите информации защищаемых систем должны применяться сертифицированные ФСТЭК России СЗИ или средства, прошедшие оценку соответствия в форме испытаний или приёмки в соответствии с Федеральным законом от 27.12.2002 №184-ФЗ «О техническом регулировании».</w:t>
            </w:r>
          </w:p>
          <w:p>
            <w:pPr>
              <w:pStyle w:val="Normal"/>
              <w:numPr>
                <w:ilvl w:val="2"/>
                <w:numId w:val="2"/>
              </w:numPr>
              <w:shd w:val="clear" w:color="auto" w:fill="FFFFFF"/>
              <w:spacing w:lineRule="auto" w:line="240" w:before="0" w:after="0"/>
              <w:ind w:left="0" w:hanging="0"/>
              <w:rPr/>
            </w:pPr>
            <w:r>
              <w:rPr>
                <w:rFonts w:eastAsia="Calibri" w:cs="" w:ascii="Times New Roman" w:hAnsi="Times New Roman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Проектная организация должна обладать лицензией Федеральной Службы по техническому и экспортному контролю России на деятельность по технической защите конфиденциальной информации, включающей в себя следующие виды работ и услуг: проектирование в защищённом исполнении: средств и систем информатизации; помещений со средствами (системами) информатизации, подлежащими защите; защищаемых помещений.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Разрабатываемые организационные и технические меры по обеспечению информационной безопасности не должны оказывать негативного влияния на создание и функционирование защищаемых информационных систем и информационно-телекоммуникационного оборудования.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При создании подсистемы ИБ необходимо максимально использовать возможности существующего оборудования в том числе и на смежных площадках проектирования.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Для обеспечения технических мер по защите информации защищаемых систем должны применяться сертифицированные ФСТЭК России СЗИ или средства, прошедшие оценку соответствия в форме испытаний или приёмки в соответствии с Федеральным законом от 27.12.2002 №184-ФЗ «О техническом регулировании».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Проектная организация должна обладать лицензией Федеральной Службы по техническому и экспортному контролю России на деятельность по технической защите конфиденциальной информации, включающей в себя следующие виды работ и услуг: проектирование в защищённом исполнении: средств и систем информатизации; помещений со средствами (системами) информатизации, подлежащими защите; защищаемых помещений.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Calibri" w:cs="" w:ascii="Times New Roman" w:hAnsi="Times New Roman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Проектируемые технические и организационные решения по информационной безопасности необходимо предварительно согласовать </w:t>
            </w:r>
            <w:r>
              <w:rPr>
                <w:rFonts w:eastAsia="Calibri" w:cs="" w:ascii="Times New Roman" w:hAnsi="Times New Roman" w:cstheme="minorBidi" w:eastAsiaTheme="minorHAnsi"/>
                <w:b w:val="false"/>
                <w:bCs/>
                <w:iCs/>
                <w:color w:val="auto"/>
                <w:kern w:val="0"/>
                <w:sz w:val="24"/>
                <w:szCs w:val="24"/>
                <w:lang w:val="ru-RU" w:eastAsia="en-US" w:bidi="ar-SA"/>
              </w:rPr>
              <w:t>с Заказчиком</w:t>
            </w:r>
            <w:r>
              <w:rPr>
                <w:rFonts w:eastAsia="Calibri" w:cs="" w:ascii="Times New Roman" w:hAnsi="Times New Roman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Проект разработать с учетом требований методических указаний по ЭМС (РД 34.20.116.-93.СО34.35.311-2004 и др. трасса кабельных лотков, дополнительные заземленные провода вдоль лотков, заземление, экранирование и др.).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системы коммерческого учета электроэнергии:</w:t>
            </w:r>
          </w:p>
          <w:p>
            <w:pPr>
              <w:pStyle w:val="Normal"/>
              <w:widowControl/>
              <w:numPr>
                <w:ilvl w:val="1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организацию системы коммерческого учета электроэнергии в КРУН 10кВ, присоединений ОРУ 110кВ на ПС 110 кВ, с применением электронных счетчиков активной и реактивной энергии класса точности 0.2S с подключением по 4-х проводной схеме.</w:t>
            </w:r>
          </w:p>
          <w:p>
            <w:pPr>
              <w:pStyle w:val="Normal"/>
              <w:widowControl/>
              <w:numPr>
                <w:ilvl w:val="1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Подключение расчетных счетчиков электроэнергии на </w:t>
              <w:br/>
              <w:t>ПС 110 кВ произвести к существующей системе АИИСКУЭ.</w:t>
            </w:r>
          </w:p>
          <w:p>
            <w:pPr>
              <w:pStyle w:val="Normal"/>
              <w:widowControl/>
              <w:numPr>
                <w:ilvl w:val="1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Определить перечень исполнительной документации, с отражением в соответствующих листах проектной (рабочей) документации, детализированный по видам работ.</w:t>
            </w:r>
          </w:p>
          <w:p>
            <w:pPr>
              <w:pStyle w:val="Normal"/>
              <w:widowControl/>
              <w:numPr>
                <w:ilvl w:val="1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Принципиальные технические решения по проектированию и выбору оборудования до начала детальной разработки согласовать с Заказчиком;</w:t>
            </w:r>
          </w:p>
          <w:p>
            <w:pPr>
              <w:pStyle w:val="Normal"/>
              <w:widowControl/>
              <w:numPr>
                <w:ilvl w:val="1"/>
                <w:numId w:val="5"/>
              </w:numPr>
              <w:shd w:val="clear" w:color="auto" w:fill="FFFFFF"/>
              <w:tabs>
                <w:tab w:val="clear" w:pos="708"/>
                <w:tab w:val="left" w:pos="5" w:leader="none"/>
              </w:tabs>
              <w:bidi w:val="0"/>
              <w:spacing w:lineRule="auto" w:line="240" w:before="0" w:after="0"/>
              <w:ind w:left="57" w:right="0" w:hanging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Проектную документацию выполнить в 4-х экземплярах на бумажном носителе и один экземпляр проекта представить в электронном виде (на CD в формате AutoCAD и PDF) заказчику (НкЭС), сметную документацию в формате совместимости с ПК «Гранд-смета».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</w:rPr>
              <w:t>250 000 руб. без НДС - для ООО/АО.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Стоимость работ в объявлении указана в базисе цен для юридических лиц.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</w:rPr>
              <w:t>Аванс – не более 20%.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</w:rPr>
              <w:t>80%   - оплата по итогам согласования результатов работ</w:t>
            </w:r>
          </w:p>
        </w:tc>
      </w:tr>
      <w:tr>
        <w:trPr/>
        <w:tc>
          <w:tcPr>
            <w:tcW w:w="950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(ООО/АО/ИП)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выполнения аналогичных работ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 %1 "/>
      <w:lvlJc w:val="left"/>
      <w:pPr>
        <w:ind w:left="744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1">
      <w:start w:val="1"/>
      <w:numFmt w:val="decimal"/>
      <w:lvlText w:val=" %1.%2 "/>
      <w:lvlJc w:val="left"/>
      <w:pPr>
        <w:ind w:left="1464" w:hanging="360"/>
      </w:pPr>
    </w:lvl>
    <w:lvl w:ilvl="2">
      <w:start w:val="11"/>
      <w:numFmt w:val="decimal"/>
      <w:lvlText w:val=" %2.%3 "/>
      <w:lvlJc w:val="left"/>
      <w:pPr>
        <w:ind w:left="2184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3">
      <w:start w:val="1"/>
      <w:numFmt w:val="decimal"/>
      <w:lvlText w:val=" %1.%2.%3.%4 "/>
      <w:lvlJc w:val="left"/>
      <w:pPr>
        <w:ind w:left="2904" w:hanging="360"/>
      </w:pPr>
    </w:lvl>
    <w:lvl w:ilvl="4">
      <w:start w:val="1"/>
      <w:numFmt w:val="decimal"/>
      <w:lvlText w:val=" %1.%2.%3.%4.%5 "/>
      <w:lvlJc w:val="left"/>
      <w:pPr>
        <w:ind w:left="3624" w:hanging="360"/>
      </w:pPr>
    </w:lvl>
    <w:lvl w:ilvl="5">
      <w:start w:val="1"/>
      <w:numFmt w:val="decimal"/>
      <w:lvlText w:val=" %1.%2.%3.%4.%5.%6 "/>
      <w:lvlJc w:val="left"/>
      <w:pPr>
        <w:ind w:left="4344" w:hanging="360"/>
      </w:pPr>
    </w:lvl>
    <w:lvl w:ilvl="6">
      <w:start w:val="1"/>
      <w:numFmt w:val="decimal"/>
      <w:lvlText w:val=" %1.%2.%3.%4.%5.%6.%7 "/>
      <w:lvlJc w:val="left"/>
      <w:pPr>
        <w:ind w:left="5064" w:hanging="360"/>
      </w:pPr>
    </w:lvl>
    <w:lvl w:ilvl="7">
      <w:start w:val="1"/>
      <w:numFmt w:val="decimal"/>
      <w:lvlText w:val=" %1.%2.%3.%4.%5.%6.%7.%8 "/>
      <w:lvlJc w:val="left"/>
      <w:pPr>
        <w:ind w:left="5784" w:hanging="360"/>
      </w:pPr>
    </w:lvl>
    <w:lvl w:ilvl="8">
      <w:start w:val="1"/>
      <w:numFmt w:val="decimal"/>
      <w:lvlText w:val=" %1.%2.%3.%4.%5.%6.%7.%8.%9 "/>
      <w:lvlJc w:val="left"/>
      <w:pPr>
        <w:ind w:left="6504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1193"/>
        </w:tabs>
        <w:ind w:left="1193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1553"/>
        </w:tabs>
        <w:ind w:left="1553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3">
      <w:start w:val="1"/>
      <w:numFmt w:val="decimal"/>
      <w:lvlText w:val="%4."/>
      <w:lvlJc w:val="left"/>
      <w:pPr>
        <w:tabs>
          <w:tab w:val="num" w:pos="1913"/>
        </w:tabs>
        <w:ind w:left="1913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4">
      <w:start w:val="1"/>
      <w:numFmt w:val="decimal"/>
      <w:lvlText w:val="%5."/>
      <w:lvlJc w:val="left"/>
      <w:pPr>
        <w:tabs>
          <w:tab w:val="num" w:pos="2273"/>
        </w:tabs>
        <w:ind w:left="2273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5">
      <w:start w:val="1"/>
      <w:numFmt w:val="decimal"/>
      <w:lvlText w:val="%6."/>
      <w:lvlJc w:val="left"/>
      <w:pPr>
        <w:tabs>
          <w:tab w:val="num" w:pos="2633"/>
        </w:tabs>
        <w:ind w:left="2633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6">
      <w:start w:val="1"/>
      <w:numFmt w:val="decimal"/>
      <w:lvlText w:val="%7."/>
      <w:lvlJc w:val="left"/>
      <w:pPr>
        <w:tabs>
          <w:tab w:val="num" w:pos="2993"/>
        </w:tabs>
        <w:ind w:left="2993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7">
      <w:start w:val="1"/>
      <w:numFmt w:val="decimal"/>
      <w:lvlText w:val="%8."/>
      <w:lvlJc w:val="left"/>
      <w:pPr>
        <w:tabs>
          <w:tab w:val="num" w:pos="3353"/>
        </w:tabs>
        <w:ind w:left="3353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8">
      <w:start w:val="1"/>
      <w:numFmt w:val="decimal"/>
      <w:lvlText w:val="%9."/>
      <w:lvlJc w:val="left"/>
      <w:pPr>
        <w:tabs>
          <w:tab w:val="num" w:pos="3713"/>
        </w:tabs>
        <w:ind w:left="3713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1045"/>
        </w:tabs>
        <w:ind w:left="1045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1405"/>
        </w:tabs>
        <w:ind w:left="1405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1765"/>
        </w:tabs>
        <w:ind w:left="1765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3">
      <w:start w:val="1"/>
      <w:numFmt w:val="decimal"/>
      <w:lvlText w:val="%4."/>
      <w:lvlJc w:val="left"/>
      <w:pPr>
        <w:tabs>
          <w:tab w:val="num" w:pos="2125"/>
        </w:tabs>
        <w:ind w:left="2125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4">
      <w:start w:val="1"/>
      <w:numFmt w:val="decimal"/>
      <w:lvlText w:val="%5."/>
      <w:lvlJc w:val="left"/>
      <w:pPr>
        <w:tabs>
          <w:tab w:val="num" w:pos="2485"/>
        </w:tabs>
        <w:ind w:left="2485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5">
      <w:start w:val="1"/>
      <w:numFmt w:val="decimal"/>
      <w:lvlText w:val="%6."/>
      <w:lvlJc w:val="left"/>
      <w:pPr>
        <w:tabs>
          <w:tab w:val="num" w:pos="2845"/>
        </w:tabs>
        <w:ind w:left="2845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6">
      <w:start w:val="1"/>
      <w:numFmt w:val="decimal"/>
      <w:lvlText w:val="%7."/>
      <w:lvlJc w:val="left"/>
      <w:pPr>
        <w:tabs>
          <w:tab w:val="num" w:pos="3205"/>
        </w:tabs>
        <w:ind w:left="3205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7">
      <w:start w:val="1"/>
      <w:numFmt w:val="decimal"/>
      <w:lvlText w:val="%8."/>
      <w:lvlJc w:val="left"/>
      <w:pPr>
        <w:tabs>
          <w:tab w:val="num" w:pos="3565"/>
        </w:tabs>
        <w:ind w:left="3565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8">
      <w:start w:val="1"/>
      <w:numFmt w:val="decimal"/>
      <w:lvlText w:val="%9."/>
      <w:lvlJc w:val="left"/>
      <w:pPr>
        <w:tabs>
          <w:tab w:val="num" w:pos="3925"/>
        </w:tabs>
        <w:ind w:left="3925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</w:abstractNum>
  <w:abstractNum w:abstractNumId="5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b w:val="false"/>
        <w:kern w:val="0"/>
        <w:szCs w:val="24"/>
        <w:bCs w:val="false"/>
        <w:rFonts w:eastAsia="Calibri" w:cs=""/>
        <w:color w:val="auto"/>
        <w:lang w:val="ru-RU" w:eastAsia="en-US" w:bidi="ar-SA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54967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c"/>
    <w:uiPriority w:val="99"/>
    <w:semiHidden/>
    <w:qFormat/>
    <w:rsid w:val="00454967"/>
    <w:rPr>
      <w:szCs w:val="20"/>
    </w:rPr>
  </w:style>
  <w:style w:type="character" w:styleId="Style15" w:customStyle="1">
    <w:name w:val="Тема примечания Знак"/>
    <w:basedOn w:val="Style14"/>
    <w:link w:val="ae"/>
    <w:uiPriority w:val="99"/>
    <w:semiHidden/>
    <w:qFormat/>
    <w:rsid w:val="00454967"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af0"/>
    <w:uiPriority w:val="99"/>
    <w:semiHidden/>
    <w:qFormat/>
    <w:rsid w:val="00454967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ascii="Times New Roman" w:hAnsi="Times New Roman" w:cs="Symbol"/>
      <w:sz w:val="24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ascii="Times New Roman" w:hAnsi="Times New Roman" w:cs="Symbol"/>
      <w:sz w:val="24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Style17">
    <w:name w:val="Символ нумерации"/>
    <w:qFormat/>
    <w:rPr>
      <w:rFonts w:ascii="Times New Roman" w:hAnsi="Times New Roman" w:eastAsia="Calibri" w:cs="" w:cstheme="minorBidi" w:eastAsiaTheme="minorHAnsi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Style18">
    <w:name w:val="Маркеры списка"/>
    <w:qFormat/>
    <w:rPr>
      <w:rFonts w:ascii="OpenSymbol" w:hAnsi="OpenSymbol" w:eastAsia="OpenSymbol" w:cs="OpenSymbol"/>
    </w:rPr>
  </w:style>
  <w:style w:type="character" w:styleId="ListLabel25">
    <w:name w:val="ListLabel 25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26">
    <w:name w:val="ListLabel 26"/>
    <w:qFormat/>
    <w:rPr>
      <w:rFonts w:ascii="Times New Roman" w:hAnsi="Times New Roman"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27">
    <w:name w:val="ListLabel 27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35">
    <w:name w:val="ListLabel 35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36">
    <w:name w:val="ListLabel 36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37">
    <w:name w:val="ListLabel 37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38">
    <w:name w:val="ListLabel 38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39">
    <w:name w:val="ListLabel 39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40">
    <w:name w:val="ListLabel 40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41">
    <w:name w:val="ListLabel 41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42">
    <w:name w:val="ListLabel 42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43">
    <w:name w:val="ListLabel 43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44">
    <w:name w:val="ListLabel 44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45">
    <w:name w:val="ListLabel 45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46">
    <w:name w:val="ListLabel 46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47">
    <w:name w:val="ListLabel 47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48">
    <w:name w:val="ListLabel 48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49">
    <w:name w:val="ListLabel 49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50">
    <w:name w:val="ListLabel 50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51">
    <w:name w:val="ListLabel 51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52">
    <w:name w:val="ListLabel 52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53">
    <w:name w:val="ListLabel 53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54">
    <w:name w:val="ListLabel 54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55">
    <w:name w:val="ListLabel 55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56">
    <w:name w:val="ListLabel 56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57">
    <w:name w:val="ListLabel 57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58">
    <w:name w:val="ListLabel 58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59">
    <w:name w:val="ListLabel 59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60">
    <w:name w:val="ListLabel 60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61">
    <w:name w:val="ListLabel 61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62">
    <w:name w:val="ListLabel 62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63">
    <w:name w:val="ListLabel 63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64">
    <w:name w:val="ListLabel 64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65">
    <w:name w:val="ListLabel 65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66">
    <w:name w:val="ListLabel 66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67">
    <w:name w:val="ListLabel 67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68">
    <w:name w:val="ListLabel 68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69">
    <w:name w:val="ListLabel 69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70">
    <w:name w:val="ListLabel 70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character" w:styleId="ListLabel71">
    <w:name w:val="ListLabel 71"/>
    <w:qFormat/>
    <w:rPr>
      <w:rFonts w:eastAsia="Calibri" w:cs=""/>
      <w:b w:val="false"/>
      <w:bCs w:val="false"/>
      <w:color w:val="auto"/>
      <w:kern w:val="0"/>
      <w:sz w:val="24"/>
      <w:szCs w:val="24"/>
      <w:lang w:val="ru-RU" w:eastAsia="en-US" w:bidi="ar-SA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Style24">
    <w:name w:val="Title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67e73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fd2406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Annotationtext">
    <w:name w:val="annotation text"/>
    <w:basedOn w:val="Normal"/>
    <w:link w:val="ad"/>
    <w:uiPriority w:val="99"/>
    <w:semiHidden/>
    <w:unhideWhenUsed/>
    <w:qFormat/>
    <w:rsid w:val="00454967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"/>
    <w:uiPriority w:val="99"/>
    <w:semiHidden/>
    <w:unhideWhenUsed/>
    <w:qFormat/>
    <w:rsid w:val="00454967"/>
    <w:pPr/>
    <w:rPr>
      <w:b/>
      <w:bCs/>
    </w:rPr>
  </w:style>
  <w:style w:type="paragraph" w:styleId="BalloonText">
    <w:name w:val="Balloon Text"/>
    <w:basedOn w:val="Normal"/>
    <w:link w:val="af1"/>
    <w:uiPriority w:val="99"/>
    <w:semiHidden/>
    <w:unhideWhenUsed/>
    <w:qFormat/>
    <w:rsid w:val="0045496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67e7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Application>LibreOffice/6.2.5.2$Windows_X86_64 LibreOffice_project/1ec314fa52f458adc18c4f025c545a4e8b22c159</Application>
  <Pages>6</Pages>
  <Words>1213</Words>
  <Characters>8941</Characters>
  <CharactersWithSpaces>10070</CharactersWithSpaces>
  <Paragraphs>113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2020-02-21T16:37:35Z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